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AA355F">
        <w:tc>
          <w:tcPr>
            <w:tcW w:w="5353" w:type="dxa"/>
          </w:tcPr>
          <w:p w:rsidR="00AA355F" w:rsidRPr="0053004D" w:rsidRDefault="00AA355F" w:rsidP="00AA355F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9E4958">
              <w:rPr>
                <w:sz w:val="28"/>
                <w:szCs w:val="28"/>
              </w:rPr>
              <w:t xml:space="preserve"> </w:t>
            </w:r>
          </w:p>
          <w:p w:rsidR="008530CA" w:rsidRDefault="008530CA" w:rsidP="00AA355F">
            <w:pPr>
              <w:rPr>
                <w:sz w:val="28"/>
                <w:szCs w:val="28"/>
              </w:rPr>
            </w:pPr>
          </w:p>
          <w:p w:rsidR="00AA355F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>УТВЕРЖДЕН</w:t>
            </w:r>
            <w:r w:rsidR="00DE6094">
              <w:rPr>
                <w:sz w:val="28"/>
                <w:szCs w:val="28"/>
              </w:rPr>
              <w:t>Ы</w:t>
            </w: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Default="00AA355F" w:rsidP="001752F2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от </w:t>
            </w:r>
            <w:r w:rsidR="001752F2">
              <w:rPr>
                <w:sz w:val="28"/>
                <w:szCs w:val="28"/>
              </w:rPr>
              <w:t xml:space="preserve">16.04.2024 </w:t>
            </w:r>
            <w:r w:rsidRPr="005B75E3">
              <w:rPr>
                <w:sz w:val="28"/>
                <w:szCs w:val="28"/>
              </w:rPr>
              <w:t xml:space="preserve">   № </w:t>
            </w:r>
            <w:r w:rsidR="001752F2">
              <w:rPr>
                <w:sz w:val="28"/>
                <w:szCs w:val="28"/>
              </w:rPr>
              <w:t>162-П</w:t>
            </w:r>
            <w:bookmarkStart w:id="0" w:name="_GoBack"/>
            <w:bookmarkEnd w:id="0"/>
          </w:p>
        </w:tc>
      </w:tr>
    </w:tbl>
    <w:p w:rsidR="00AA355F" w:rsidRPr="009E4958" w:rsidRDefault="00AA355F" w:rsidP="00D75369">
      <w:pPr>
        <w:jc w:val="center"/>
        <w:rPr>
          <w:b/>
          <w:sz w:val="28"/>
          <w:szCs w:val="28"/>
        </w:rPr>
      </w:pPr>
      <w:r w:rsidRPr="009E4958">
        <w:rPr>
          <w:b/>
          <w:sz w:val="28"/>
          <w:szCs w:val="28"/>
        </w:rPr>
        <w:t>ИЗМЕНЕНИ</w:t>
      </w:r>
      <w:r w:rsidR="00AD511B">
        <w:rPr>
          <w:b/>
          <w:sz w:val="28"/>
          <w:szCs w:val="28"/>
        </w:rPr>
        <w:t>Я</w:t>
      </w:r>
    </w:p>
    <w:p w:rsidR="00CD075A" w:rsidRDefault="009E4958" w:rsidP="00AD511B">
      <w:pPr>
        <w:shd w:val="clear" w:color="auto" w:fill="FFFFFF"/>
        <w:spacing w:after="480"/>
        <w:jc w:val="center"/>
        <w:rPr>
          <w:rFonts w:eastAsia="Calibri"/>
          <w:b/>
          <w:sz w:val="28"/>
          <w:szCs w:val="28"/>
        </w:rPr>
      </w:pPr>
      <w:r w:rsidRPr="009E4958">
        <w:rPr>
          <w:b/>
          <w:sz w:val="28"/>
          <w:szCs w:val="28"/>
        </w:rPr>
        <w:t xml:space="preserve">в </w:t>
      </w:r>
      <w:r w:rsidR="00324E95">
        <w:rPr>
          <w:b/>
          <w:sz w:val="28"/>
          <w:szCs w:val="28"/>
        </w:rPr>
        <w:t>м</w:t>
      </w:r>
      <w:r w:rsidR="00AD511B" w:rsidRPr="00AD511B">
        <w:rPr>
          <w:b/>
          <w:sz w:val="28"/>
          <w:szCs w:val="28"/>
        </w:rPr>
        <w:t xml:space="preserve">етодике распределения </w:t>
      </w:r>
      <w:r w:rsidR="00AD511B" w:rsidRPr="00AD511B">
        <w:rPr>
          <w:rFonts w:eastAsia="Calibri"/>
          <w:b/>
          <w:sz w:val="28"/>
          <w:szCs w:val="28"/>
        </w:rPr>
        <w:t>и правила</w:t>
      </w:r>
      <w:r w:rsidR="00DE6094">
        <w:rPr>
          <w:rFonts w:eastAsia="Calibri"/>
          <w:b/>
          <w:sz w:val="28"/>
          <w:szCs w:val="28"/>
        </w:rPr>
        <w:t>х</w:t>
      </w:r>
      <w:r w:rsidR="00AD511B" w:rsidRPr="00AD511B">
        <w:rPr>
          <w:rFonts w:eastAsia="Calibri"/>
          <w:b/>
          <w:sz w:val="28"/>
          <w:szCs w:val="28"/>
        </w:rPr>
        <w:t xml:space="preserve"> предоставления иных межбюджетных трансфертов местным бюджетам из областного бюджета на ежемесячно</w:t>
      </w:r>
      <w:r w:rsidR="00966BB5">
        <w:rPr>
          <w:rFonts w:eastAsia="Calibri"/>
          <w:b/>
          <w:sz w:val="28"/>
          <w:szCs w:val="28"/>
        </w:rPr>
        <w:t>е</w:t>
      </w:r>
      <w:r w:rsidR="00AD511B" w:rsidRPr="00AD511B">
        <w:rPr>
          <w:rFonts w:eastAsia="Calibri"/>
          <w:b/>
          <w:sz w:val="28"/>
          <w:szCs w:val="28"/>
        </w:rPr>
        <w:t xml:space="preserve"> денежно</w:t>
      </w:r>
      <w:r w:rsidR="00966BB5">
        <w:rPr>
          <w:rFonts w:eastAsia="Calibri"/>
          <w:b/>
          <w:sz w:val="28"/>
          <w:szCs w:val="28"/>
        </w:rPr>
        <w:t>е</w:t>
      </w:r>
      <w:r w:rsidR="00AD511B" w:rsidRPr="00AD511B">
        <w:rPr>
          <w:rFonts w:eastAsia="Calibri"/>
          <w:b/>
          <w:sz w:val="28"/>
          <w:szCs w:val="28"/>
        </w:rPr>
        <w:t xml:space="preserve"> вознаграждени</w:t>
      </w:r>
      <w:r w:rsidR="00966BB5">
        <w:rPr>
          <w:rFonts w:eastAsia="Calibri"/>
          <w:b/>
          <w:sz w:val="28"/>
          <w:szCs w:val="28"/>
        </w:rPr>
        <w:t>е</w:t>
      </w:r>
      <w:r w:rsidR="00AD511B" w:rsidRPr="00AD511B">
        <w:rPr>
          <w:rFonts w:eastAsia="Calibri"/>
          <w:b/>
          <w:sz w:val="28"/>
          <w:szCs w:val="28"/>
        </w:rPr>
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</w:r>
      <w:r w:rsidR="007F3466">
        <w:rPr>
          <w:rFonts w:eastAsia="Calibri"/>
          <w:b/>
          <w:sz w:val="28"/>
          <w:szCs w:val="28"/>
        </w:rPr>
        <w:t xml:space="preserve"> образования</w:t>
      </w:r>
      <w:r w:rsidR="00AD511B" w:rsidRPr="00AD511B">
        <w:rPr>
          <w:rFonts w:eastAsia="Calibri"/>
          <w:b/>
          <w:sz w:val="28"/>
          <w:szCs w:val="28"/>
        </w:rPr>
        <w:t xml:space="preserve">, </w:t>
      </w:r>
      <w:r w:rsidR="007F3466">
        <w:rPr>
          <w:rFonts w:eastAsia="Calibri"/>
          <w:b/>
          <w:sz w:val="28"/>
          <w:szCs w:val="28"/>
        </w:rPr>
        <w:t xml:space="preserve">образовательные программы </w:t>
      </w:r>
      <w:r w:rsidR="00AD511B" w:rsidRPr="00AD511B">
        <w:rPr>
          <w:rFonts w:eastAsia="Calibri"/>
          <w:b/>
          <w:sz w:val="28"/>
          <w:szCs w:val="28"/>
        </w:rPr>
        <w:t>основного общего</w:t>
      </w:r>
      <w:r w:rsidR="007F3466">
        <w:rPr>
          <w:rFonts w:eastAsia="Calibri"/>
          <w:b/>
          <w:sz w:val="28"/>
          <w:szCs w:val="28"/>
        </w:rPr>
        <w:t xml:space="preserve"> образования</w:t>
      </w:r>
      <w:r w:rsidR="00AD511B" w:rsidRPr="00AD511B">
        <w:rPr>
          <w:rFonts w:eastAsia="Calibri"/>
          <w:b/>
          <w:sz w:val="28"/>
          <w:szCs w:val="28"/>
        </w:rPr>
        <w:t xml:space="preserve">, </w:t>
      </w:r>
      <w:r w:rsidR="007F3466">
        <w:rPr>
          <w:rFonts w:eastAsia="Calibri"/>
          <w:b/>
          <w:sz w:val="28"/>
          <w:szCs w:val="28"/>
        </w:rPr>
        <w:t xml:space="preserve">образовательные программы </w:t>
      </w:r>
      <w:r w:rsidR="00AD511B" w:rsidRPr="00AD511B">
        <w:rPr>
          <w:rFonts w:eastAsia="Calibri"/>
          <w:b/>
          <w:sz w:val="28"/>
          <w:szCs w:val="28"/>
        </w:rPr>
        <w:t>среднего общего образования</w:t>
      </w:r>
    </w:p>
    <w:p w:rsidR="009B7FEC" w:rsidRDefault="00AD511B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9B7FEC">
        <w:rPr>
          <w:rFonts w:eastAsia="Calibri"/>
          <w:sz w:val="28"/>
          <w:szCs w:val="28"/>
        </w:rPr>
        <w:t xml:space="preserve">Пункт </w:t>
      </w:r>
      <w:r w:rsidR="00100F7F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</w:t>
      </w:r>
      <w:r w:rsidR="009B7FEC">
        <w:rPr>
          <w:rFonts w:eastAsia="Calibri"/>
          <w:sz w:val="28"/>
          <w:szCs w:val="28"/>
        </w:rPr>
        <w:t>изложить в следующей редакции:</w:t>
      </w:r>
    </w:p>
    <w:p w:rsidR="00AD511B" w:rsidRDefault="009B7FEC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 w:rsidR="00100F7F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100F7F" w:rsidRPr="00100F7F">
        <w:rPr>
          <w:rFonts w:eastAsiaTheme="minorHAnsi"/>
          <w:sz w:val="28"/>
          <w:szCs w:val="28"/>
          <w:lang w:eastAsia="en-US"/>
        </w:rPr>
        <w:t xml:space="preserve"> </w:t>
      </w:r>
      <w:r w:rsidR="00100F7F">
        <w:rPr>
          <w:rFonts w:eastAsiaTheme="minorHAnsi"/>
          <w:sz w:val="28"/>
          <w:szCs w:val="28"/>
          <w:lang w:eastAsia="en-US"/>
        </w:rPr>
        <w:t>Иные межбюджетные трансферты предоставляются министерством образования Кировской области (далее – министерство) бюджетам муниципальных районов, муниципальных и городских округов Кировской области (далее – муниципальные образования) в целях осуществления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(далее – образовательные организации), из расчета 5</w:t>
      </w:r>
      <w:r w:rsidR="00C35091">
        <w:rPr>
          <w:rFonts w:eastAsiaTheme="minorHAnsi"/>
          <w:sz w:val="28"/>
          <w:szCs w:val="28"/>
          <w:lang w:eastAsia="en-US"/>
        </w:rPr>
        <w:t> </w:t>
      </w:r>
      <w:r w:rsidR="00100F7F">
        <w:rPr>
          <w:rFonts w:eastAsiaTheme="minorHAnsi"/>
          <w:sz w:val="28"/>
          <w:szCs w:val="28"/>
          <w:lang w:eastAsia="en-US"/>
        </w:rPr>
        <w:t xml:space="preserve">000 рублей в населенных пунктах с численностью населения 100 тыс. человек и более </w:t>
      </w:r>
      <w:r w:rsidR="00100F7F">
        <w:rPr>
          <w:rFonts w:eastAsia="Calibri"/>
          <w:sz w:val="28"/>
          <w:szCs w:val="28"/>
        </w:rPr>
        <w:t xml:space="preserve">(но не более 2 выплат ежемесячного денежного вознаграждения одному педагогическому работнику при условии осуществления классного руководства в 2 и более классах) </w:t>
      </w:r>
      <w:r w:rsidR="00100F7F">
        <w:rPr>
          <w:rFonts w:eastAsiaTheme="minorHAnsi"/>
          <w:sz w:val="28"/>
          <w:szCs w:val="28"/>
          <w:lang w:eastAsia="en-US"/>
        </w:rPr>
        <w:t>и из расчета 10</w:t>
      </w:r>
      <w:r w:rsidR="00C35091">
        <w:rPr>
          <w:rFonts w:eastAsiaTheme="minorHAnsi"/>
          <w:sz w:val="28"/>
          <w:szCs w:val="28"/>
          <w:lang w:eastAsia="en-US"/>
        </w:rPr>
        <w:t> </w:t>
      </w:r>
      <w:r w:rsidR="00100F7F">
        <w:rPr>
          <w:rFonts w:eastAsiaTheme="minorHAnsi"/>
          <w:sz w:val="28"/>
          <w:szCs w:val="28"/>
          <w:lang w:eastAsia="en-US"/>
        </w:rPr>
        <w:t xml:space="preserve">000 рублей в населенных пунктах с численностью населения </w:t>
      </w:r>
      <w:r w:rsidR="00830421">
        <w:rPr>
          <w:rFonts w:eastAsiaTheme="minorHAnsi"/>
          <w:sz w:val="28"/>
          <w:szCs w:val="28"/>
          <w:lang w:eastAsia="en-US"/>
        </w:rPr>
        <w:br/>
      </w:r>
      <w:r w:rsidR="00100F7F">
        <w:rPr>
          <w:rFonts w:eastAsiaTheme="minorHAnsi"/>
          <w:sz w:val="28"/>
          <w:szCs w:val="28"/>
          <w:lang w:eastAsia="en-US"/>
        </w:rPr>
        <w:t xml:space="preserve">менее 100 тыс. человек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</w:t>
      </w:r>
      <w:r w:rsidR="00100F7F">
        <w:rPr>
          <w:rFonts w:eastAsiaTheme="minorHAnsi"/>
          <w:sz w:val="28"/>
          <w:szCs w:val="28"/>
          <w:lang w:eastAsia="en-US"/>
        </w:rPr>
        <w:lastRenderedPageBreak/>
        <w:t xml:space="preserve">Федерации (на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на обязательное социальное страхование от несчастных случаев на производстве </w:t>
      </w:r>
      <w:r w:rsidR="00830421">
        <w:rPr>
          <w:rFonts w:eastAsiaTheme="minorHAnsi"/>
          <w:sz w:val="28"/>
          <w:szCs w:val="28"/>
          <w:lang w:eastAsia="en-US"/>
        </w:rPr>
        <w:br/>
      </w:r>
      <w:r w:rsidR="00100F7F">
        <w:rPr>
          <w:rFonts w:eastAsiaTheme="minorHAnsi"/>
          <w:sz w:val="28"/>
          <w:szCs w:val="28"/>
          <w:lang w:eastAsia="en-US"/>
        </w:rPr>
        <w:t xml:space="preserve">и профессиональных заболеваний) (далее </w:t>
      </w:r>
      <w:r w:rsidR="00830421">
        <w:rPr>
          <w:rFonts w:eastAsiaTheme="minorHAnsi"/>
          <w:sz w:val="28"/>
          <w:szCs w:val="28"/>
          <w:lang w:eastAsia="en-US"/>
        </w:rPr>
        <w:t>–</w:t>
      </w:r>
      <w:r w:rsidR="00100F7F">
        <w:rPr>
          <w:rFonts w:eastAsiaTheme="minorHAnsi"/>
          <w:sz w:val="28"/>
          <w:szCs w:val="28"/>
          <w:lang w:eastAsia="en-US"/>
        </w:rPr>
        <w:t xml:space="preserve"> страховые взносы </w:t>
      </w:r>
      <w:r w:rsidR="00830421">
        <w:rPr>
          <w:rFonts w:eastAsiaTheme="minorHAnsi"/>
          <w:sz w:val="28"/>
          <w:szCs w:val="28"/>
          <w:lang w:eastAsia="en-US"/>
        </w:rPr>
        <w:br/>
      </w:r>
      <w:r w:rsidR="00100F7F">
        <w:rPr>
          <w:rFonts w:eastAsiaTheme="minorHAnsi"/>
          <w:sz w:val="28"/>
          <w:szCs w:val="28"/>
          <w:lang w:eastAsia="en-US"/>
        </w:rPr>
        <w:t xml:space="preserve">в государственные внебюджетные фонды) и районного коэффициента </w:t>
      </w:r>
      <w:r w:rsidR="00830421">
        <w:rPr>
          <w:rFonts w:eastAsiaTheme="minorHAnsi"/>
          <w:sz w:val="28"/>
          <w:szCs w:val="28"/>
          <w:lang w:eastAsia="en-US"/>
        </w:rPr>
        <w:br/>
      </w:r>
      <w:r w:rsidR="00100F7F">
        <w:rPr>
          <w:rFonts w:eastAsiaTheme="minorHAnsi"/>
          <w:sz w:val="28"/>
          <w:szCs w:val="28"/>
          <w:lang w:eastAsia="en-US"/>
        </w:rPr>
        <w:t xml:space="preserve">к заработной плате, установленного решением органа государственной власти СССР или федерального органа государственной власти (далее </w:t>
      </w:r>
      <w:r w:rsidR="00830421">
        <w:rPr>
          <w:rFonts w:eastAsiaTheme="minorHAnsi"/>
          <w:sz w:val="28"/>
          <w:szCs w:val="28"/>
          <w:lang w:eastAsia="en-US"/>
        </w:rPr>
        <w:t>–</w:t>
      </w:r>
      <w:r w:rsidR="00100F7F">
        <w:rPr>
          <w:rFonts w:eastAsiaTheme="minorHAnsi"/>
          <w:sz w:val="28"/>
          <w:szCs w:val="28"/>
          <w:lang w:eastAsia="en-US"/>
        </w:rPr>
        <w:t xml:space="preserve"> районный коэффициент), в том числе выплаты части отпускных, начисленной с суммы выплаченного вознаграждения, учтенного в расчете средней заработной платы</w:t>
      </w:r>
      <w:r w:rsidR="00AD511B">
        <w:rPr>
          <w:rFonts w:eastAsiaTheme="minorHAnsi"/>
          <w:sz w:val="28"/>
          <w:szCs w:val="28"/>
          <w:lang w:eastAsia="en-US"/>
        </w:rPr>
        <w:t>».</w:t>
      </w:r>
    </w:p>
    <w:p w:rsidR="0077192A" w:rsidRDefault="00CD5D9C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100F7F">
        <w:rPr>
          <w:rFonts w:eastAsia="Calibri"/>
          <w:sz w:val="28"/>
          <w:szCs w:val="28"/>
        </w:rPr>
        <w:t>Пункт</w:t>
      </w:r>
      <w:r w:rsidR="00830421">
        <w:rPr>
          <w:rFonts w:eastAsia="Calibri"/>
          <w:sz w:val="28"/>
          <w:szCs w:val="28"/>
        </w:rPr>
        <w:t>ы</w:t>
      </w:r>
      <w:r w:rsidR="00100F7F">
        <w:rPr>
          <w:rFonts w:eastAsia="Calibri"/>
          <w:sz w:val="28"/>
          <w:szCs w:val="28"/>
        </w:rPr>
        <w:t xml:space="preserve"> 5 </w:t>
      </w:r>
      <w:r w:rsidR="00830421">
        <w:rPr>
          <w:rFonts w:eastAsia="Calibri"/>
          <w:sz w:val="28"/>
          <w:szCs w:val="28"/>
        </w:rPr>
        <w:t xml:space="preserve">и 6 </w:t>
      </w:r>
      <w:r w:rsidR="00100F7F">
        <w:rPr>
          <w:rFonts w:eastAsia="Calibri"/>
          <w:sz w:val="28"/>
          <w:szCs w:val="28"/>
        </w:rPr>
        <w:t>изложить в следующей редакции:</w:t>
      </w:r>
    </w:p>
    <w:p w:rsidR="00100F7F" w:rsidRDefault="00100F7F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«5. Критерием отбора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для предоставления иных межбюджетных трансфертов является наличие потребности образовательных организаций муниципального образования </w:t>
      </w:r>
      <w:r w:rsidR="000A667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обеспечении выплат ежемесячного денежного вознаграждения за классное руководство исходя из прогнозируемого количества классов образовательных организаций с учетом комплектования на начало учебного года.</w:t>
      </w:r>
    </w:p>
    <w:p w:rsidR="00EF11F6" w:rsidRPr="00AB3896" w:rsidRDefault="00AB3A37" w:rsidP="00C35091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EF11F6" w:rsidRPr="00AB3896">
        <w:rPr>
          <w:color w:val="000000" w:themeColor="text1"/>
          <w:sz w:val="28"/>
          <w:szCs w:val="28"/>
        </w:rPr>
        <w:t xml:space="preserve">Размер иных межбюджетных трансфертов </w:t>
      </w:r>
      <w:r w:rsidR="00EF11F6" w:rsidRPr="00AB3896">
        <w:rPr>
          <w:color w:val="000000" w:themeColor="text1"/>
          <w:sz w:val="28"/>
          <w:szCs w:val="28"/>
          <w:lang w:val="en-US"/>
        </w:rPr>
        <w:t>i</w:t>
      </w:r>
      <w:r w:rsidR="00EF11F6" w:rsidRPr="00AB3896">
        <w:rPr>
          <w:color w:val="000000" w:themeColor="text1"/>
          <w:sz w:val="28"/>
          <w:szCs w:val="28"/>
        </w:rPr>
        <w:t>-му муниципальному образованию (</w:t>
      </w:r>
      <w:r w:rsidR="00EF11F6" w:rsidRPr="00AB3896">
        <w:rPr>
          <w:sz w:val="28"/>
          <w:szCs w:val="28"/>
        </w:rPr>
        <w:t>Т</w:t>
      </w:r>
      <w:r w:rsidR="00EF11F6" w:rsidRPr="00AB3896">
        <w:rPr>
          <w:sz w:val="28"/>
          <w:szCs w:val="28"/>
          <w:vertAlign w:val="subscript"/>
        </w:rPr>
        <w:t>i</w:t>
      </w:r>
      <w:r w:rsidR="00EF11F6" w:rsidRPr="00AB3896">
        <w:rPr>
          <w:sz w:val="28"/>
          <w:szCs w:val="28"/>
        </w:rPr>
        <w:t>)</w:t>
      </w:r>
      <w:r w:rsidR="00EF11F6" w:rsidRPr="00AB3896">
        <w:rPr>
          <w:color w:val="000000" w:themeColor="text1"/>
          <w:sz w:val="28"/>
          <w:szCs w:val="28"/>
        </w:rPr>
        <w:t xml:space="preserve"> определяется по </w:t>
      </w:r>
      <w:r w:rsidR="00EF11F6">
        <w:rPr>
          <w:color w:val="000000" w:themeColor="text1"/>
          <w:sz w:val="28"/>
          <w:szCs w:val="28"/>
        </w:rPr>
        <w:t xml:space="preserve">следующей </w:t>
      </w:r>
      <w:r w:rsidR="00EF11F6" w:rsidRPr="00AB3896">
        <w:rPr>
          <w:color w:val="000000" w:themeColor="text1"/>
          <w:sz w:val="28"/>
          <w:szCs w:val="28"/>
        </w:rPr>
        <w:t>формуле:</w:t>
      </w:r>
    </w:p>
    <w:p w:rsidR="00EF11F6" w:rsidRDefault="00EF11F6" w:rsidP="00C35091">
      <w:pPr>
        <w:autoSpaceDE w:val="0"/>
        <w:autoSpaceDN w:val="0"/>
        <w:adjustRightInd w:val="0"/>
        <w:spacing w:before="240" w:after="240" w:line="360" w:lineRule="auto"/>
        <w:jc w:val="center"/>
        <w:rPr>
          <w:sz w:val="28"/>
          <w:szCs w:val="28"/>
        </w:rPr>
      </w:pPr>
      <w:r w:rsidRPr="00AB3896">
        <w:rPr>
          <w:sz w:val="28"/>
          <w:szCs w:val="28"/>
        </w:rPr>
        <w:t>Т</w:t>
      </w:r>
      <w:r w:rsidRPr="00AB3896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Pr="00AB3896">
        <w:rPr>
          <w:sz w:val="28"/>
          <w:szCs w:val="28"/>
        </w:rPr>
        <w:t>Т</w:t>
      </w:r>
      <w:r w:rsidRPr="00AB3896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>1</w:t>
      </w:r>
      <w:r w:rsidRPr="00EF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Pr="00AB3896">
        <w:rPr>
          <w:sz w:val="28"/>
          <w:szCs w:val="28"/>
        </w:rPr>
        <w:t>Т</w:t>
      </w:r>
      <w:r w:rsidRPr="00AB3896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 w:rsidR="00D270B7">
        <w:rPr>
          <w:sz w:val="28"/>
          <w:szCs w:val="28"/>
        </w:rPr>
        <w:t xml:space="preserve"> </w:t>
      </w:r>
      <w:r>
        <w:rPr>
          <w:sz w:val="28"/>
          <w:szCs w:val="28"/>
        </w:rPr>
        <w:t>где:</w:t>
      </w:r>
    </w:p>
    <w:p w:rsidR="00EF11F6" w:rsidRDefault="00EF11F6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896">
        <w:rPr>
          <w:sz w:val="28"/>
          <w:szCs w:val="28"/>
        </w:rPr>
        <w:t>Т</w:t>
      </w:r>
      <w:r w:rsidRPr="00AB3896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объем ин</w:t>
      </w:r>
      <w:r w:rsidR="00D270B7">
        <w:rPr>
          <w:sz w:val="28"/>
          <w:szCs w:val="28"/>
        </w:rPr>
        <w:t>ых</w:t>
      </w:r>
      <w:r>
        <w:rPr>
          <w:sz w:val="28"/>
          <w:szCs w:val="28"/>
        </w:rPr>
        <w:t xml:space="preserve"> межбюджетн</w:t>
      </w:r>
      <w:r w:rsidR="00D270B7">
        <w:rPr>
          <w:sz w:val="28"/>
          <w:szCs w:val="28"/>
        </w:rPr>
        <w:t>ых</w:t>
      </w:r>
      <w:r>
        <w:rPr>
          <w:sz w:val="28"/>
          <w:szCs w:val="28"/>
        </w:rPr>
        <w:t xml:space="preserve"> трансферт</w:t>
      </w:r>
      <w:r w:rsidR="00D270B7">
        <w:rPr>
          <w:sz w:val="28"/>
          <w:szCs w:val="28"/>
        </w:rPr>
        <w:t>ов</w:t>
      </w:r>
      <w:r>
        <w:rPr>
          <w:sz w:val="28"/>
          <w:szCs w:val="28"/>
        </w:rPr>
        <w:t xml:space="preserve"> из расчета 5</w:t>
      </w:r>
      <w:r w:rsidR="00C35091">
        <w:rPr>
          <w:sz w:val="28"/>
          <w:szCs w:val="28"/>
        </w:rPr>
        <w:t> </w:t>
      </w:r>
      <w:r>
        <w:rPr>
          <w:sz w:val="28"/>
          <w:szCs w:val="28"/>
        </w:rPr>
        <w:t xml:space="preserve">000 рублей в месяц в населенных пунктах с численностью населения 100 тыс. человек </w:t>
      </w:r>
      <w:r w:rsidR="000A667C">
        <w:rPr>
          <w:sz w:val="28"/>
          <w:szCs w:val="28"/>
        </w:rPr>
        <w:br/>
      </w:r>
      <w:r>
        <w:rPr>
          <w:sz w:val="28"/>
          <w:szCs w:val="28"/>
        </w:rPr>
        <w:t>и более;</w:t>
      </w:r>
    </w:p>
    <w:p w:rsidR="00EF11F6" w:rsidRDefault="00EF11F6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896">
        <w:rPr>
          <w:sz w:val="28"/>
          <w:szCs w:val="28"/>
        </w:rPr>
        <w:t>Т</w:t>
      </w:r>
      <w:r w:rsidRPr="00AB3896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объем ин</w:t>
      </w:r>
      <w:r w:rsidR="00D270B7">
        <w:rPr>
          <w:sz w:val="28"/>
          <w:szCs w:val="28"/>
        </w:rPr>
        <w:t>ых</w:t>
      </w:r>
      <w:r>
        <w:rPr>
          <w:sz w:val="28"/>
          <w:szCs w:val="28"/>
        </w:rPr>
        <w:t xml:space="preserve"> межбюджетн</w:t>
      </w:r>
      <w:r w:rsidR="00D270B7">
        <w:rPr>
          <w:sz w:val="28"/>
          <w:szCs w:val="28"/>
        </w:rPr>
        <w:t>ых трансфертов</w:t>
      </w:r>
      <w:r>
        <w:rPr>
          <w:sz w:val="28"/>
          <w:szCs w:val="28"/>
        </w:rPr>
        <w:t xml:space="preserve"> из расчета </w:t>
      </w:r>
      <w:r w:rsidR="00D270B7">
        <w:rPr>
          <w:sz w:val="28"/>
          <w:szCs w:val="28"/>
        </w:rPr>
        <w:t>10</w:t>
      </w:r>
      <w:r w:rsidR="00C35091">
        <w:rPr>
          <w:sz w:val="28"/>
          <w:szCs w:val="28"/>
        </w:rPr>
        <w:t> </w:t>
      </w:r>
      <w:r w:rsidR="00D270B7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 в месяц в населенных пунктах с численностью населения </w:t>
      </w:r>
      <w:r w:rsidR="00D270B7">
        <w:rPr>
          <w:sz w:val="28"/>
          <w:szCs w:val="28"/>
        </w:rPr>
        <w:t xml:space="preserve">менее </w:t>
      </w:r>
      <w:r>
        <w:rPr>
          <w:sz w:val="28"/>
          <w:szCs w:val="28"/>
        </w:rPr>
        <w:t>100 тыс. человек</w:t>
      </w:r>
      <w:r w:rsidR="00D270B7">
        <w:rPr>
          <w:sz w:val="28"/>
          <w:szCs w:val="28"/>
        </w:rPr>
        <w:t>».</w:t>
      </w:r>
    </w:p>
    <w:p w:rsidR="00D270B7" w:rsidRDefault="00830421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0B7">
        <w:rPr>
          <w:sz w:val="28"/>
          <w:szCs w:val="28"/>
        </w:rPr>
        <w:t>. Дополнить пунктами 6–1 и 6–2 следующего содержания:</w:t>
      </w:r>
    </w:p>
    <w:p w:rsidR="00D270B7" w:rsidRDefault="00D270B7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«6–1. Объем иных межбюджетных трансфертов из расчета 5</w:t>
      </w:r>
      <w:r w:rsidR="00C35091">
        <w:rPr>
          <w:sz w:val="28"/>
          <w:szCs w:val="28"/>
        </w:rPr>
        <w:t> </w:t>
      </w:r>
      <w:r>
        <w:rPr>
          <w:sz w:val="28"/>
          <w:szCs w:val="28"/>
        </w:rPr>
        <w:t xml:space="preserve">000 рублей в месяц в населенных пунктах с численностью населения 100 тыс. человек </w:t>
      </w:r>
      <w:r w:rsidR="00C35091">
        <w:rPr>
          <w:sz w:val="28"/>
          <w:szCs w:val="28"/>
        </w:rPr>
        <w:br/>
      </w:r>
      <w:r>
        <w:rPr>
          <w:sz w:val="28"/>
          <w:szCs w:val="28"/>
        </w:rPr>
        <w:t>и более (</w:t>
      </w:r>
      <w:r w:rsidRPr="00AB3896">
        <w:rPr>
          <w:sz w:val="28"/>
          <w:szCs w:val="28"/>
        </w:rPr>
        <w:t>Т</w:t>
      </w:r>
      <w:r w:rsidRPr="00AB3896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определяется по следующей формуле:</w:t>
      </w:r>
    </w:p>
    <w:p w:rsidR="00D270B7" w:rsidRDefault="00D270B7" w:rsidP="00C35091">
      <w:pPr>
        <w:pStyle w:val="a8"/>
        <w:spacing w:before="240" w:after="240" w:line="360" w:lineRule="auto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E25398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T</w:t>
      </w:r>
      <w:r w:rsidRPr="00E25398">
        <w:rPr>
          <w:sz w:val="28"/>
          <w:szCs w:val="28"/>
          <w:vertAlign w:val="subscript"/>
        </w:rPr>
        <w:t>кр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х </w:t>
      </w:r>
      <w:r w:rsidRPr="00E25398">
        <w:rPr>
          <w:sz w:val="28"/>
          <w:szCs w:val="28"/>
        </w:rPr>
        <w:t>Н</w:t>
      </w:r>
      <w:r w:rsidRPr="00E25398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х 1,15</w:t>
      </w:r>
      <w:r w:rsidRPr="00DE2D9A">
        <w:rPr>
          <w:sz w:val="28"/>
          <w:szCs w:val="28"/>
        </w:rPr>
        <w:t xml:space="preserve"> </w:t>
      </w:r>
      <w:r w:rsidRPr="00E25398">
        <w:rPr>
          <w:sz w:val="28"/>
          <w:szCs w:val="28"/>
        </w:rPr>
        <w:t>х</w:t>
      </w:r>
      <w:r w:rsidRPr="00DE2D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м </w:t>
      </w:r>
      <w:r w:rsidRPr="00DE2D9A"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S</w:t>
      </w:r>
      <w:r w:rsidRPr="00E25398">
        <w:rPr>
          <w:sz w:val="28"/>
          <w:szCs w:val="28"/>
          <w:vertAlign w:val="subscript"/>
        </w:rPr>
        <w:t>взн</w:t>
      </w:r>
      <w:r>
        <w:rPr>
          <w:sz w:val="28"/>
          <w:szCs w:val="28"/>
        </w:rPr>
        <w:t>, где:</w:t>
      </w:r>
    </w:p>
    <w:p w:rsidR="00D270B7" w:rsidRPr="00DE2D9A" w:rsidRDefault="00D270B7" w:rsidP="00C35091">
      <w:pPr>
        <w:pStyle w:val="a8"/>
        <w:spacing w:line="36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E2D9A">
        <w:rPr>
          <w:sz w:val="28"/>
          <w:szCs w:val="28"/>
        </w:rPr>
        <w:t>T</w:t>
      </w:r>
      <w:r w:rsidRPr="00DE2D9A">
        <w:rPr>
          <w:sz w:val="28"/>
          <w:szCs w:val="28"/>
          <w:vertAlign w:val="subscript"/>
        </w:rPr>
        <w:t>кр</w:t>
      </w:r>
      <w:r>
        <w:rPr>
          <w:sz w:val="28"/>
          <w:szCs w:val="28"/>
          <w:vertAlign w:val="subscript"/>
        </w:rPr>
        <w:t>1</w:t>
      </w:r>
      <w:r w:rsidRPr="00DE2D9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E2D9A">
        <w:rPr>
          <w:sz w:val="28"/>
          <w:szCs w:val="28"/>
        </w:rPr>
        <w:t xml:space="preserve">размер ежемесячного денежного вознаграждения </w:t>
      </w:r>
      <w:r>
        <w:rPr>
          <w:sz w:val="28"/>
          <w:szCs w:val="28"/>
        </w:rPr>
        <w:t xml:space="preserve">за классное руководство </w:t>
      </w:r>
      <w:r w:rsidRPr="00DE2D9A">
        <w:rPr>
          <w:sz w:val="28"/>
          <w:szCs w:val="28"/>
        </w:rPr>
        <w:t xml:space="preserve">педагогическим работникам </w:t>
      </w:r>
      <w:r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br/>
        <w:t>(из расчета 5 000 рублей)</w:t>
      </w:r>
      <w:r w:rsidRPr="00DE2D9A">
        <w:rPr>
          <w:sz w:val="28"/>
          <w:szCs w:val="28"/>
        </w:rPr>
        <w:t>;</w:t>
      </w:r>
    </w:p>
    <w:p w:rsidR="00D270B7" w:rsidRDefault="00D270B7" w:rsidP="00C3509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DE2D9A">
        <w:rPr>
          <w:sz w:val="28"/>
          <w:szCs w:val="28"/>
          <w:lang w:val="en-US"/>
        </w:rPr>
        <w:t>H</w:t>
      </w:r>
      <w:r w:rsidRPr="00E25398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i</w:t>
      </w:r>
      <w:r w:rsidRPr="00A63D4D">
        <w:rPr>
          <w:color w:val="000000" w:themeColor="text1"/>
          <w:sz w:val="28"/>
          <w:szCs w:val="28"/>
        </w:rPr>
        <w:t xml:space="preserve"> – </w:t>
      </w:r>
      <w:r w:rsidRPr="00DE2D9A">
        <w:rPr>
          <w:sz w:val="28"/>
          <w:szCs w:val="28"/>
        </w:rPr>
        <w:t>заявленн</w:t>
      </w:r>
      <w:r w:rsidR="00830421">
        <w:rPr>
          <w:sz w:val="28"/>
          <w:szCs w:val="28"/>
        </w:rPr>
        <w:t>ое</w:t>
      </w:r>
      <w:r w:rsidRPr="00DE2D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A5B00">
        <w:rPr>
          <w:sz w:val="28"/>
          <w:szCs w:val="28"/>
        </w:rPr>
        <w:t>-</w:t>
      </w:r>
      <w:r>
        <w:rPr>
          <w:sz w:val="28"/>
          <w:szCs w:val="28"/>
        </w:rPr>
        <w:t>м муниципальным образованием</w:t>
      </w:r>
      <w:r w:rsidRPr="00DE2D9A">
        <w:rPr>
          <w:sz w:val="28"/>
          <w:szCs w:val="28"/>
        </w:rPr>
        <w:t xml:space="preserve"> прогнозируем</w:t>
      </w:r>
      <w:r>
        <w:rPr>
          <w:sz w:val="28"/>
          <w:szCs w:val="28"/>
        </w:rPr>
        <w:t>ое</w:t>
      </w:r>
      <w:r w:rsidRPr="00DE2D9A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классов</w:t>
      </w:r>
      <w:r w:rsidRPr="00DE2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населенных пунктах с численностью населения </w:t>
      </w:r>
      <w:r w:rsidR="00C35091">
        <w:rPr>
          <w:sz w:val="28"/>
          <w:szCs w:val="28"/>
        </w:rPr>
        <w:br/>
      </w:r>
      <w:r>
        <w:rPr>
          <w:sz w:val="28"/>
          <w:szCs w:val="28"/>
        </w:rPr>
        <w:t>100 тыс. человек и более</w:t>
      </w:r>
      <w:r w:rsidRPr="00DE2D9A">
        <w:rPr>
          <w:sz w:val="28"/>
          <w:szCs w:val="28"/>
        </w:rPr>
        <w:t>;</w:t>
      </w:r>
    </w:p>
    <w:p w:rsidR="00D270B7" w:rsidRPr="002757A8" w:rsidRDefault="00D270B7" w:rsidP="00C3509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2757A8">
        <w:rPr>
          <w:sz w:val="28"/>
          <w:szCs w:val="28"/>
        </w:rPr>
        <w:t>1,15 – районный коэффициент</w:t>
      </w:r>
      <w:r w:rsidR="00830421">
        <w:rPr>
          <w:sz w:val="28"/>
          <w:szCs w:val="28"/>
        </w:rPr>
        <w:t xml:space="preserve"> (учитывается при расчете размера иных межбюджетных трансфертов муниципальным образованиям, в которых районный коэффициент установлен к заработной плате решением федерального органа государственной власти)</w:t>
      </w:r>
      <w:r w:rsidRPr="002757A8">
        <w:rPr>
          <w:sz w:val="28"/>
          <w:szCs w:val="28"/>
        </w:rPr>
        <w:t xml:space="preserve">; </w:t>
      </w:r>
    </w:p>
    <w:p w:rsidR="00D270B7" w:rsidRPr="00DE2D9A" w:rsidRDefault="00D270B7" w:rsidP="00C3509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930FB">
        <w:rPr>
          <w:sz w:val="28"/>
          <w:szCs w:val="28"/>
          <w:vertAlign w:val="subscript"/>
        </w:rPr>
        <w:t>м</w:t>
      </w:r>
      <w:r w:rsidRPr="00A63D4D">
        <w:rPr>
          <w:color w:val="000000" w:themeColor="text1"/>
          <w:sz w:val="28"/>
          <w:szCs w:val="28"/>
        </w:rPr>
        <w:t xml:space="preserve"> – </w:t>
      </w:r>
      <w:r w:rsidRPr="00DE2D9A">
        <w:rPr>
          <w:sz w:val="28"/>
          <w:szCs w:val="28"/>
        </w:rPr>
        <w:t>количество месяцев</w:t>
      </w:r>
      <w:r>
        <w:rPr>
          <w:sz w:val="28"/>
          <w:szCs w:val="28"/>
        </w:rPr>
        <w:t xml:space="preserve"> в году</w:t>
      </w:r>
      <w:r w:rsidRPr="00DE2D9A">
        <w:rPr>
          <w:sz w:val="28"/>
          <w:szCs w:val="28"/>
        </w:rPr>
        <w:t>, в которые выплачивается ежемесячное денежное вознаграждение за классное руководство педагогическим работникам образовательных организаций;</w:t>
      </w:r>
    </w:p>
    <w:p w:rsidR="00D270B7" w:rsidRDefault="00D270B7" w:rsidP="00C3509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E25398">
        <w:rPr>
          <w:sz w:val="28"/>
          <w:szCs w:val="28"/>
          <w:vertAlign w:val="subscript"/>
        </w:rPr>
        <w:t>взн</w:t>
      </w:r>
      <w:r w:rsidRPr="00A63D4D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коэффициент отчислений на </w:t>
      </w:r>
      <w:r>
        <w:rPr>
          <w:spacing w:val="-6"/>
          <w:sz w:val="28"/>
          <w:szCs w:val="28"/>
        </w:rPr>
        <w:t>страховые взносы в государственные внебюджетные фонды</w:t>
      </w:r>
      <w:r>
        <w:rPr>
          <w:sz w:val="28"/>
          <w:szCs w:val="28"/>
        </w:rPr>
        <w:t>.</w:t>
      </w:r>
    </w:p>
    <w:p w:rsidR="00D270B7" w:rsidRDefault="00C35091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6–2. Объем иных межбюджетных трансфертов из расчета 10 000 рублей в месяц в населенных пунктах с численностью населения менее </w:t>
      </w:r>
      <w:r>
        <w:rPr>
          <w:sz w:val="28"/>
          <w:szCs w:val="28"/>
        </w:rPr>
        <w:br/>
        <w:t>100 тыс. человек (</w:t>
      </w:r>
      <w:r w:rsidRPr="00AB3896">
        <w:rPr>
          <w:sz w:val="28"/>
          <w:szCs w:val="28"/>
        </w:rPr>
        <w:t>Т</w:t>
      </w:r>
      <w:r w:rsidRPr="00AB3896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определяется по следующей формуле:</w:t>
      </w:r>
    </w:p>
    <w:p w:rsidR="00C35091" w:rsidRDefault="00C35091" w:rsidP="000A667C">
      <w:pPr>
        <w:pStyle w:val="a8"/>
        <w:spacing w:before="240" w:after="240" w:line="360" w:lineRule="auto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E25398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T</w:t>
      </w:r>
      <w:r w:rsidRPr="00E25398">
        <w:rPr>
          <w:sz w:val="28"/>
          <w:szCs w:val="28"/>
          <w:vertAlign w:val="subscript"/>
        </w:rPr>
        <w:t>кр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х </w:t>
      </w:r>
      <w:r w:rsidRPr="00E25398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х 1,15</w:t>
      </w:r>
      <w:r>
        <w:rPr>
          <w:sz w:val="28"/>
          <w:szCs w:val="28"/>
          <w:vertAlign w:val="superscript"/>
        </w:rPr>
        <w:t>1</w:t>
      </w:r>
      <w:r w:rsidRPr="00DE2D9A">
        <w:rPr>
          <w:sz w:val="28"/>
          <w:szCs w:val="28"/>
        </w:rPr>
        <w:t xml:space="preserve"> </w:t>
      </w:r>
      <w:r w:rsidRPr="00E25398">
        <w:rPr>
          <w:sz w:val="28"/>
          <w:szCs w:val="28"/>
        </w:rPr>
        <w:t>х</w:t>
      </w:r>
      <w:r w:rsidRPr="00DE2D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м </w:t>
      </w:r>
      <w:r w:rsidRPr="00DE2D9A"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S</w:t>
      </w:r>
      <w:r w:rsidRPr="00E25398">
        <w:rPr>
          <w:sz w:val="28"/>
          <w:szCs w:val="28"/>
          <w:vertAlign w:val="subscript"/>
        </w:rPr>
        <w:t>взн</w:t>
      </w:r>
      <w:r>
        <w:rPr>
          <w:sz w:val="28"/>
          <w:szCs w:val="28"/>
        </w:rPr>
        <w:t>, где:</w:t>
      </w:r>
    </w:p>
    <w:p w:rsidR="00C35091" w:rsidRPr="00DE2D9A" w:rsidRDefault="00C35091" w:rsidP="00C35091">
      <w:pPr>
        <w:pStyle w:val="a8"/>
        <w:spacing w:line="36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E2D9A">
        <w:rPr>
          <w:sz w:val="28"/>
          <w:szCs w:val="28"/>
        </w:rPr>
        <w:t>T</w:t>
      </w:r>
      <w:r w:rsidRPr="00DE2D9A">
        <w:rPr>
          <w:sz w:val="28"/>
          <w:szCs w:val="28"/>
          <w:vertAlign w:val="subscript"/>
        </w:rPr>
        <w:t>кр</w:t>
      </w:r>
      <w:r>
        <w:rPr>
          <w:sz w:val="28"/>
          <w:szCs w:val="28"/>
          <w:vertAlign w:val="subscript"/>
        </w:rPr>
        <w:t>2</w:t>
      </w:r>
      <w:r w:rsidRPr="00DE2D9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E2D9A">
        <w:rPr>
          <w:sz w:val="28"/>
          <w:szCs w:val="28"/>
        </w:rPr>
        <w:t xml:space="preserve">размер ежемесячного денежного вознаграждения </w:t>
      </w:r>
      <w:r>
        <w:rPr>
          <w:sz w:val="28"/>
          <w:szCs w:val="28"/>
        </w:rPr>
        <w:t xml:space="preserve">за классное руководство </w:t>
      </w:r>
      <w:r w:rsidRPr="00DE2D9A">
        <w:rPr>
          <w:sz w:val="28"/>
          <w:szCs w:val="28"/>
        </w:rPr>
        <w:t xml:space="preserve">педагогическим работникам </w:t>
      </w:r>
      <w:r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br/>
        <w:t>(из расчета 10 000 рублей)</w:t>
      </w:r>
      <w:r w:rsidRPr="00DE2D9A">
        <w:rPr>
          <w:sz w:val="28"/>
          <w:szCs w:val="28"/>
        </w:rPr>
        <w:t>;</w:t>
      </w:r>
    </w:p>
    <w:p w:rsidR="00C35091" w:rsidRDefault="00C35091" w:rsidP="00C3509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DE2D9A">
        <w:rPr>
          <w:sz w:val="28"/>
          <w:szCs w:val="28"/>
          <w:lang w:val="en-US"/>
        </w:rPr>
        <w:lastRenderedPageBreak/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i</w:t>
      </w:r>
      <w:r w:rsidRPr="00A63D4D">
        <w:rPr>
          <w:color w:val="000000" w:themeColor="text1"/>
          <w:sz w:val="28"/>
          <w:szCs w:val="28"/>
        </w:rPr>
        <w:t xml:space="preserve"> – </w:t>
      </w:r>
      <w:r w:rsidRPr="00DE2D9A">
        <w:rPr>
          <w:sz w:val="28"/>
          <w:szCs w:val="28"/>
        </w:rPr>
        <w:t>заявленн</w:t>
      </w:r>
      <w:r w:rsidR="00830421">
        <w:rPr>
          <w:sz w:val="28"/>
          <w:szCs w:val="28"/>
        </w:rPr>
        <w:t>ое</w:t>
      </w:r>
      <w:r w:rsidRPr="00DE2D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A5B00">
        <w:rPr>
          <w:sz w:val="28"/>
          <w:szCs w:val="28"/>
        </w:rPr>
        <w:t>-</w:t>
      </w:r>
      <w:r>
        <w:rPr>
          <w:sz w:val="28"/>
          <w:szCs w:val="28"/>
        </w:rPr>
        <w:t>м муниципальным образованием</w:t>
      </w:r>
      <w:r w:rsidRPr="00DE2D9A">
        <w:rPr>
          <w:sz w:val="28"/>
          <w:szCs w:val="28"/>
        </w:rPr>
        <w:t xml:space="preserve"> прогнозируем</w:t>
      </w:r>
      <w:r>
        <w:rPr>
          <w:sz w:val="28"/>
          <w:szCs w:val="28"/>
        </w:rPr>
        <w:t>ое</w:t>
      </w:r>
      <w:r w:rsidRPr="00DE2D9A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классов</w:t>
      </w:r>
      <w:r w:rsidRPr="00DE2D9A">
        <w:rPr>
          <w:sz w:val="28"/>
          <w:szCs w:val="28"/>
        </w:rPr>
        <w:t xml:space="preserve"> </w:t>
      </w:r>
      <w:r>
        <w:rPr>
          <w:sz w:val="28"/>
          <w:szCs w:val="28"/>
        </w:rPr>
        <w:t>в населенных пунктах с численностью населения менее 100 тыс. человек</w:t>
      </w:r>
      <w:r w:rsidRPr="00DE2D9A">
        <w:rPr>
          <w:sz w:val="28"/>
          <w:szCs w:val="28"/>
        </w:rPr>
        <w:t>;</w:t>
      </w:r>
    </w:p>
    <w:p w:rsidR="00C35091" w:rsidRPr="002757A8" w:rsidRDefault="00C35091" w:rsidP="00C3509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2757A8">
        <w:rPr>
          <w:sz w:val="28"/>
          <w:szCs w:val="28"/>
        </w:rPr>
        <w:t>1,15 – районный коэффициент</w:t>
      </w:r>
      <w:r w:rsidR="00830421">
        <w:rPr>
          <w:sz w:val="28"/>
          <w:szCs w:val="28"/>
        </w:rPr>
        <w:t xml:space="preserve"> (учитывается при расчете размера иных межбюджетных трансфертов муниципальным образованиям, в которых районный коэффициент установлен к заработной плате решением федерального органа государственной власти)</w:t>
      </w:r>
      <w:r w:rsidRPr="002757A8">
        <w:rPr>
          <w:sz w:val="28"/>
          <w:szCs w:val="28"/>
        </w:rPr>
        <w:t xml:space="preserve">; </w:t>
      </w:r>
    </w:p>
    <w:p w:rsidR="00C35091" w:rsidRPr="00DE2D9A" w:rsidRDefault="00C35091" w:rsidP="00C3509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930FB">
        <w:rPr>
          <w:sz w:val="28"/>
          <w:szCs w:val="28"/>
          <w:vertAlign w:val="subscript"/>
        </w:rPr>
        <w:t>м</w:t>
      </w:r>
      <w:r w:rsidRPr="00A63D4D">
        <w:rPr>
          <w:color w:val="000000" w:themeColor="text1"/>
          <w:sz w:val="28"/>
          <w:szCs w:val="28"/>
        </w:rPr>
        <w:t xml:space="preserve"> – </w:t>
      </w:r>
      <w:r w:rsidRPr="00DE2D9A">
        <w:rPr>
          <w:sz w:val="28"/>
          <w:szCs w:val="28"/>
        </w:rPr>
        <w:t>количество месяцев</w:t>
      </w:r>
      <w:r>
        <w:rPr>
          <w:sz w:val="28"/>
          <w:szCs w:val="28"/>
        </w:rPr>
        <w:t xml:space="preserve"> в году</w:t>
      </w:r>
      <w:r w:rsidRPr="00DE2D9A">
        <w:rPr>
          <w:sz w:val="28"/>
          <w:szCs w:val="28"/>
        </w:rPr>
        <w:t>, в которые выплачивается ежемесячное денежное вознаграждение за классное руководство педагогическим работникам образовательных организаций;</w:t>
      </w:r>
    </w:p>
    <w:p w:rsidR="00C35091" w:rsidRDefault="00C35091" w:rsidP="00C3509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E25398">
        <w:rPr>
          <w:sz w:val="28"/>
          <w:szCs w:val="28"/>
          <w:vertAlign w:val="subscript"/>
        </w:rPr>
        <w:t>взн</w:t>
      </w:r>
      <w:r w:rsidRPr="00A63D4D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коэффициент отчислений на </w:t>
      </w:r>
      <w:r>
        <w:rPr>
          <w:spacing w:val="-6"/>
          <w:sz w:val="28"/>
          <w:szCs w:val="28"/>
        </w:rPr>
        <w:t>страховые взносы в государственные внебюджетные фонды»</w:t>
      </w:r>
      <w:r>
        <w:rPr>
          <w:sz w:val="28"/>
          <w:szCs w:val="28"/>
        </w:rPr>
        <w:t>.</w:t>
      </w:r>
    </w:p>
    <w:p w:rsidR="003E6158" w:rsidRDefault="00830421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C20FE">
        <w:rPr>
          <w:rFonts w:eastAsiaTheme="minorHAnsi"/>
          <w:sz w:val="28"/>
          <w:szCs w:val="28"/>
          <w:lang w:eastAsia="en-US"/>
        </w:rPr>
        <w:t xml:space="preserve">. </w:t>
      </w:r>
      <w:r w:rsidR="008A5FC4">
        <w:rPr>
          <w:rFonts w:eastAsiaTheme="minorHAnsi"/>
          <w:sz w:val="28"/>
          <w:szCs w:val="28"/>
          <w:lang w:eastAsia="en-US"/>
        </w:rPr>
        <w:t>Пункт 1</w:t>
      </w:r>
      <w:r w:rsidR="00C35091">
        <w:rPr>
          <w:rFonts w:eastAsiaTheme="minorHAnsi"/>
          <w:sz w:val="28"/>
          <w:szCs w:val="28"/>
          <w:lang w:eastAsia="en-US"/>
        </w:rPr>
        <w:t>0</w:t>
      </w:r>
      <w:r w:rsidR="008A5FC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35091" w:rsidRDefault="008A5FC4" w:rsidP="00C350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</w:t>
      </w:r>
      <w:r w:rsidR="00C3509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35091">
        <w:rPr>
          <w:rFonts w:eastAsiaTheme="minorHAnsi"/>
          <w:sz w:val="28"/>
          <w:szCs w:val="28"/>
          <w:lang w:eastAsia="en-US"/>
        </w:rPr>
        <w:t xml:space="preserve">Результатом </w:t>
      </w:r>
      <w:r w:rsidR="0004212C">
        <w:rPr>
          <w:rFonts w:eastAsiaTheme="minorHAnsi"/>
          <w:sz w:val="28"/>
          <w:szCs w:val="28"/>
          <w:lang w:eastAsia="en-US"/>
        </w:rPr>
        <w:t>использования</w:t>
      </w:r>
      <w:r w:rsidR="00C35091">
        <w:rPr>
          <w:rFonts w:eastAsiaTheme="minorHAnsi"/>
          <w:sz w:val="28"/>
          <w:szCs w:val="28"/>
          <w:lang w:eastAsia="en-US"/>
        </w:rPr>
        <w:t xml:space="preserve"> иных межбюджетных трансфертов является обеспечение выплат денежного вознаграждения за классное руководство, предоставляемых педагогическим работникам образовательных организаций ежемесячно».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EB19E4" w:rsidRPr="00B071DE" w:rsidTr="00C269C8">
        <w:trPr>
          <w:trHeight w:val="757"/>
        </w:trPr>
        <w:tc>
          <w:tcPr>
            <w:tcW w:w="9555" w:type="dxa"/>
          </w:tcPr>
          <w:p w:rsidR="00EB19E4" w:rsidRPr="00B071DE" w:rsidRDefault="00EB19E4" w:rsidP="00314A9A">
            <w:pPr>
              <w:shd w:val="clear" w:color="auto" w:fill="FFFFFF"/>
              <w:spacing w:before="72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  <w:r w:rsidR="00701BD8"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</w:t>
            </w:r>
          </w:p>
        </w:tc>
      </w:tr>
    </w:tbl>
    <w:p w:rsidR="007B1D4B" w:rsidRDefault="007B1D4B" w:rsidP="003B1A41">
      <w:pPr>
        <w:spacing w:after="200" w:line="276" w:lineRule="auto"/>
        <w:rPr>
          <w:sz w:val="28"/>
          <w:szCs w:val="28"/>
        </w:rPr>
      </w:pPr>
    </w:p>
    <w:sectPr w:rsidR="007B1D4B" w:rsidSect="008530CA">
      <w:headerReference w:type="default" r:id="rId7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A7" w:rsidRDefault="00DB75A7" w:rsidP="00EA055B">
      <w:r>
        <w:separator/>
      </w:r>
    </w:p>
  </w:endnote>
  <w:endnote w:type="continuationSeparator" w:id="0">
    <w:p w:rsidR="00DB75A7" w:rsidRDefault="00DB75A7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A7" w:rsidRDefault="00DB75A7" w:rsidP="00EA055B">
      <w:r>
        <w:separator/>
      </w:r>
    </w:p>
  </w:footnote>
  <w:footnote w:type="continuationSeparator" w:id="0">
    <w:p w:rsidR="00DB75A7" w:rsidRDefault="00DB75A7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707204"/>
      <w:docPartObj>
        <w:docPartGallery w:val="Page Numbers (Top of Page)"/>
        <w:docPartUnique/>
      </w:docPartObj>
    </w:sdtPr>
    <w:sdtEndPr/>
    <w:sdtContent>
      <w:p w:rsidR="00C35091" w:rsidRDefault="00DB75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2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5091" w:rsidRDefault="00C350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0760A"/>
    <w:rsid w:val="000149DD"/>
    <w:rsid w:val="00016FD7"/>
    <w:rsid w:val="00020DEA"/>
    <w:rsid w:val="00026FC5"/>
    <w:rsid w:val="0003169B"/>
    <w:rsid w:val="000365D6"/>
    <w:rsid w:val="00037D3F"/>
    <w:rsid w:val="0004212C"/>
    <w:rsid w:val="00044B8B"/>
    <w:rsid w:val="000474F9"/>
    <w:rsid w:val="00051313"/>
    <w:rsid w:val="00062579"/>
    <w:rsid w:val="00065CFD"/>
    <w:rsid w:val="00072AEE"/>
    <w:rsid w:val="000762A3"/>
    <w:rsid w:val="00080C7C"/>
    <w:rsid w:val="000829D4"/>
    <w:rsid w:val="00082C14"/>
    <w:rsid w:val="000913F2"/>
    <w:rsid w:val="00092444"/>
    <w:rsid w:val="0009559B"/>
    <w:rsid w:val="00097EA1"/>
    <w:rsid w:val="000A2650"/>
    <w:rsid w:val="000A4C8B"/>
    <w:rsid w:val="000A56A5"/>
    <w:rsid w:val="000A667C"/>
    <w:rsid w:val="000B18E8"/>
    <w:rsid w:val="000B3D85"/>
    <w:rsid w:val="000B4E9C"/>
    <w:rsid w:val="000C20FE"/>
    <w:rsid w:val="000C3FAC"/>
    <w:rsid w:val="000D085D"/>
    <w:rsid w:val="000D2D87"/>
    <w:rsid w:val="000D6E84"/>
    <w:rsid w:val="000D7C99"/>
    <w:rsid w:val="000E025B"/>
    <w:rsid w:val="000F4AA1"/>
    <w:rsid w:val="00100F7F"/>
    <w:rsid w:val="0010520A"/>
    <w:rsid w:val="0010575D"/>
    <w:rsid w:val="00115961"/>
    <w:rsid w:val="00115F86"/>
    <w:rsid w:val="0011650C"/>
    <w:rsid w:val="0011714A"/>
    <w:rsid w:val="00117E58"/>
    <w:rsid w:val="00125378"/>
    <w:rsid w:val="00125429"/>
    <w:rsid w:val="00132FBC"/>
    <w:rsid w:val="001332BF"/>
    <w:rsid w:val="001378AB"/>
    <w:rsid w:val="00146C35"/>
    <w:rsid w:val="001507EA"/>
    <w:rsid w:val="0015373B"/>
    <w:rsid w:val="00161F41"/>
    <w:rsid w:val="00166635"/>
    <w:rsid w:val="00170882"/>
    <w:rsid w:val="00170BFE"/>
    <w:rsid w:val="0017168E"/>
    <w:rsid w:val="00174F49"/>
    <w:rsid w:val="001752F2"/>
    <w:rsid w:val="001774B6"/>
    <w:rsid w:val="00177BAB"/>
    <w:rsid w:val="00177E4B"/>
    <w:rsid w:val="00196C4A"/>
    <w:rsid w:val="001A5A76"/>
    <w:rsid w:val="001A694E"/>
    <w:rsid w:val="001B041D"/>
    <w:rsid w:val="001B6075"/>
    <w:rsid w:val="001C011F"/>
    <w:rsid w:val="001C0963"/>
    <w:rsid w:val="001C643C"/>
    <w:rsid w:val="001C7329"/>
    <w:rsid w:val="001C7C41"/>
    <w:rsid w:val="001D198C"/>
    <w:rsid w:val="001D7313"/>
    <w:rsid w:val="00200F4F"/>
    <w:rsid w:val="00204281"/>
    <w:rsid w:val="0020661C"/>
    <w:rsid w:val="00206DE1"/>
    <w:rsid w:val="00211238"/>
    <w:rsid w:val="002242E0"/>
    <w:rsid w:val="00232FA9"/>
    <w:rsid w:val="0023358B"/>
    <w:rsid w:val="002341D6"/>
    <w:rsid w:val="002342F2"/>
    <w:rsid w:val="00235B7E"/>
    <w:rsid w:val="00237609"/>
    <w:rsid w:val="002408A3"/>
    <w:rsid w:val="0024645B"/>
    <w:rsid w:val="002514DD"/>
    <w:rsid w:val="00256B05"/>
    <w:rsid w:val="002721AD"/>
    <w:rsid w:val="0028030C"/>
    <w:rsid w:val="002803F7"/>
    <w:rsid w:val="0028172C"/>
    <w:rsid w:val="00281A87"/>
    <w:rsid w:val="00283219"/>
    <w:rsid w:val="00286220"/>
    <w:rsid w:val="002923F2"/>
    <w:rsid w:val="00294831"/>
    <w:rsid w:val="00295611"/>
    <w:rsid w:val="002A31FD"/>
    <w:rsid w:val="002A4148"/>
    <w:rsid w:val="002B0A81"/>
    <w:rsid w:val="002B5505"/>
    <w:rsid w:val="002B5E3E"/>
    <w:rsid w:val="002C436F"/>
    <w:rsid w:val="002C4BBF"/>
    <w:rsid w:val="002C6A3C"/>
    <w:rsid w:val="002D0EC2"/>
    <w:rsid w:val="002D293B"/>
    <w:rsid w:val="002D3B2E"/>
    <w:rsid w:val="002D55EA"/>
    <w:rsid w:val="002D72D3"/>
    <w:rsid w:val="002E6155"/>
    <w:rsid w:val="002F3D36"/>
    <w:rsid w:val="002F4FB2"/>
    <w:rsid w:val="002F6E5E"/>
    <w:rsid w:val="002F70F9"/>
    <w:rsid w:val="00307DB0"/>
    <w:rsid w:val="00307DC7"/>
    <w:rsid w:val="00307F69"/>
    <w:rsid w:val="00314A9A"/>
    <w:rsid w:val="00324E95"/>
    <w:rsid w:val="003259B8"/>
    <w:rsid w:val="003300E2"/>
    <w:rsid w:val="0033064F"/>
    <w:rsid w:val="00335930"/>
    <w:rsid w:val="00337525"/>
    <w:rsid w:val="00343816"/>
    <w:rsid w:val="003636CF"/>
    <w:rsid w:val="00367BDA"/>
    <w:rsid w:val="00370AA7"/>
    <w:rsid w:val="00380305"/>
    <w:rsid w:val="00383ACB"/>
    <w:rsid w:val="003A0EF1"/>
    <w:rsid w:val="003A6CFD"/>
    <w:rsid w:val="003B1A41"/>
    <w:rsid w:val="003B7015"/>
    <w:rsid w:val="003C1EDF"/>
    <w:rsid w:val="003C3D05"/>
    <w:rsid w:val="003C4597"/>
    <w:rsid w:val="003C4B89"/>
    <w:rsid w:val="003C53A5"/>
    <w:rsid w:val="003D1A1B"/>
    <w:rsid w:val="003D3BE3"/>
    <w:rsid w:val="003D3D3D"/>
    <w:rsid w:val="003D424F"/>
    <w:rsid w:val="003E1F11"/>
    <w:rsid w:val="003E2C7D"/>
    <w:rsid w:val="003E4A15"/>
    <w:rsid w:val="003E6158"/>
    <w:rsid w:val="003F0F7A"/>
    <w:rsid w:val="003F2554"/>
    <w:rsid w:val="003F26F2"/>
    <w:rsid w:val="003F27DD"/>
    <w:rsid w:val="004117A9"/>
    <w:rsid w:val="004146EE"/>
    <w:rsid w:val="0041784B"/>
    <w:rsid w:val="00417EC5"/>
    <w:rsid w:val="00420526"/>
    <w:rsid w:val="00420E2D"/>
    <w:rsid w:val="0042284F"/>
    <w:rsid w:val="00426914"/>
    <w:rsid w:val="004364C0"/>
    <w:rsid w:val="0044360C"/>
    <w:rsid w:val="004465DE"/>
    <w:rsid w:val="0045060A"/>
    <w:rsid w:val="0045281C"/>
    <w:rsid w:val="00456D70"/>
    <w:rsid w:val="0046132A"/>
    <w:rsid w:val="00461DF4"/>
    <w:rsid w:val="00465925"/>
    <w:rsid w:val="00470197"/>
    <w:rsid w:val="00470D81"/>
    <w:rsid w:val="00477FDD"/>
    <w:rsid w:val="004838A0"/>
    <w:rsid w:val="004854B4"/>
    <w:rsid w:val="00485BD5"/>
    <w:rsid w:val="004868B8"/>
    <w:rsid w:val="004A0964"/>
    <w:rsid w:val="004A170B"/>
    <w:rsid w:val="004A1710"/>
    <w:rsid w:val="004A424A"/>
    <w:rsid w:val="004B441B"/>
    <w:rsid w:val="004D1650"/>
    <w:rsid w:val="004D4C68"/>
    <w:rsid w:val="004E5883"/>
    <w:rsid w:val="004E5A1B"/>
    <w:rsid w:val="00500310"/>
    <w:rsid w:val="00501905"/>
    <w:rsid w:val="005019D5"/>
    <w:rsid w:val="00510F62"/>
    <w:rsid w:val="0052026D"/>
    <w:rsid w:val="005203D4"/>
    <w:rsid w:val="00520668"/>
    <w:rsid w:val="0053004D"/>
    <w:rsid w:val="00531EA6"/>
    <w:rsid w:val="00541E56"/>
    <w:rsid w:val="0054435A"/>
    <w:rsid w:val="005451CA"/>
    <w:rsid w:val="005511E2"/>
    <w:rsid w:val="005579C8"/>
    <w:rsid w:val="0057021F"/>
    <w:rsid w:val="0057732C"/>
    <w:rsid w:val="005818AD"/>
    <w:rsid w:val="0058195A"/>
    <w:rsid w:val="005820DE"/>
    <w:rsid w:val="005846E3"/>
    <w:rsid w:val="00592892"/>
    <w:rsid w:val="00592C14"/>
    <w:rsid w:val="00594FC2"/>
    <w:rsid w:val="00595BBB"/>
    <w:rsid w:val="00597CA6"/>
    <w:rsid w:val="005A0C51"/>
    <w:rsid w:val="005A0DFB"/>
    <w:rsid w:val="005A44FB"/>
    <w:rsid w:val="005B3281"/>
    <w:rsid w:val="005B4A29"/>
    <w:rsid w:val="005D244F"/>
    <w:rsid w:val="005E40E9"/>
    <w:rsid w:val="005E4D06"/>
    <w:rsid w:val="005E60EE"/>
    <w:rsid w:val="005F428A"/>
    <w:rsid w:val="00602571"/>
    <w:rsid w:val="006044BB"/>
    <w:rsid w:val="0060619E"/>
    <w:rsid w:val="0061097E"/>
    <w:rsid w:val="00614D21"/>
    <w:rsid w:val="00614D4E"/>
    <w:rsid w:val="006151BE"/>
    <w:rsid w:val="006174FE"/>
    <w:rsid w:val="00622330"/>
    <w:rsid w:val="0062399A"/>
    <w:rsid w:val="00627FD6"/>
    <w:rsid w:val="006304C8"/>
    <w:rsid w:val="00640449"/>
    <w:rsid w:val="006407A1"/>
    <w:rsid w:val="00646243"/>
    <w:rsid w:val="00651BC0"/>
    <w:rsid w:val="00652C93"/>
    <w:rsid w:val="00654682"/>
    <w:rsid w:val="006564C8"/>
    <w:rsid w:val="00666785"/>
    <w:rsid w:val="00673272"/>
    <w:rsid w:val="00681595"/>
    <w:rsid w:val="006855F0"/>
    <w:rsid w:val="006862C5"/>
    <w:rsid w:val="00691A76"/>
    <w:rsid w:val="00692239"/>
    <w:rsid w:val="006925D1"/>
    <w:rsid w:val="0069585A"/>
    <w:rsid w:val="00696FA9"/>
    <w:rsid w:val="006A182D"/>
    <w:rsid w:val="006A7EBC"/>
    <w:rsid w:val="006B0C0B"/>
    <w:rsid w:val="006B1557"/>
    <w:rsid w:val="006B67B5"/>
    <w:rsid w:val="006C2D31"/>
    <w:rsid w:val="006C6D50"/>
    <w:rsid w:val="006E6E64"/>
    <w:rsid w:val="006F1962"/>
    <w:rsid w:val="006F7453"/>
    <w:rsid w:val="006F758D"/>
    <w:rsid w:val="00701BD8"/>
    <w:rsid w:val="00704250"/>
    <w:rsid w:val="00712B1F"/>
    <w:rsid w:val="00713B1E"/>
    <w:rsid w:val="00716D5B"/>
    <w:rsid w:val="00723152"/>
    <w:rsid w:val="0072722E"/>
    <w:rsid w:val="00730654"/>
    <w:rsid w:val="007316D2"/>
    <w:rsid w:val="00745E80"/>
    <w:rsid w:val="00750CA2"/>
    <w:rsid w:val="00760B2E"/>
    <w:rsid w:val="0076170F"/>
    <w:rsid w:val="00766158"/>
    <w:rsid w:val="00767733"/>
    <w:rsid w:val="0077192A"/>
    <w:rsid w:val="00773475"/>
    <w:rsid w:val="00782F49"/>
    <w:rsid w:val="00790D9C"/>
    <w:rsid w:val="00792215"/>
    <w:rsid w:val="007A0CA6"/>
    <w:rsid w:val="007A3776"/>
    <w:rsid w:val="007A38F3"/>
    <w:rsid w:val="007B07F5"/>
    <w:rsid w:val="007B0DC6"/>
    <w:rsid w:val="007B0F35"/>
    <w:rsid w:val="007B1D4B"/>
    <w:rsid w:val="007D197C"/>
    <w:rsid w:val="007D201B"/>
    <w:rsid w:val="007D20E5"/>
    <w:rsid w:val="007D7DFE"/>
    <w:rsid w:val="007D7E9F"/>
    <w:rsid w:val="007E29EB"/>
    <w:rsid w:val="007F0338"/>
    <w:rsid w:val="007F07C5"/>
    <w:rsid w:val="007F3466"/>
    <w:rsid w:val="007F4681"/>
    <w:rsid w:val="007F5E40"/>
    <w:rsid w:val="007F6FDD"/>
    <w:rsid w:val="00800553"/>
    <w:rsid w:val="00804C8A"/>
    <w:rsid w:val="0080628E"/>
    <w:rsid w:val="00815448"/>
    <w:rsid w:val="00815FB6"/>
    <w:rsid w:val="00817C03"/>
    <w:rsid w:val="008235C6"/>
    <w:rsid w:val="00824F6D"/>
    <w:rsid w:val="00830421"/>
    <w:rsid w:val="008315B5"/>
    <w:rsid w:val="0083673E"/>
    <w:rsid w:val="00837F8F"/>
    <w:rsid w:val="0084065B"/>
    <w:rsid w:val="008410A6"/>
    <w:rsid w:val="008432BC"/>
    <w:rsid w:val="00847BCE"/>
    <w:rsid w:val="008530CA"/>
    <w:rsid w:val="00853C4F"/>
    <w:rsid w:val="0086562A"/>
    <w:rsid w:val="00877224"/>
    <w:rsid w:val="008773A0"/>
    <w:rsid w:val="008812F0"/>
    <w:rsid w:val="008A5EA1"/>
    <w:rsid w:val="008A5FC4"/>
    <w:rsid w:val="008B00F9"/>
    <w:rsid w:val="008B0A9C"/>
    <w:rsid w:val="008B1D76"/>
    <w:rsid w:val="008B5262"/>
    <w:rsid w:val="008C34E5"/>
    <w:rsid w:val="008C4F5C"/>
    <w:rsid w:val="008C7D01"/>
    <w:rsid w:val="008C7D0F"/>
    <w:rsid w:val="008D0C2B"/>
    <w:rsid w:val="008D1E91"/>
    <w:rsid w:val="008D285F"/>
    <w:rsid w:val="008D3E70"/>
    <w:rsid w:val="008E0FB0"/>
    <w:rsid w:val="008E6548"/>
    <w:rsid w:val="008F16A6"/>
    <w:rsid w:val="00907418"/>
    <w:rsid w:val="0091313C"/>
    <w:rsid w:val="009168D3"/>
    <w:rsid w:val="00917035"/>
    <w:rsid w:val="0092237F"/>
    <w:rsid w:val="00927082"/>
    <w:rsid w:val="00942948"/>
    <w:rsid w:val="00942E4A"/>
    <w:rsid w:val="009469EE"/>
    <w:rsid w:val="00947CA4"/>
    <w:rsid w:val="00951E49"/>
    <w:rsid w:val="009538B0"/>
    <w:rsid w:val="00957EA9"/>
    <w:rsid w:val="00963439"/>
    <w:rsid w:val="00966BB5"/>
    <w:rsid w:val="009705DD"/>
    <w:rsid w:val="0097271B"/>
    <w:rsid w:val="00986258"/>
    <w:rsid w:val="00990578"/>
    <w:rsid w:val="009B057E"/>
    <w:rsid w:val="009B0D49"/>
    <w:rsid w:val="009B1568"/>
    <w:rsid w:val="009B1D4F"/>
    <w:rsid w:val="009B3EA3"/>
    <w:rsid w:val="009B79CE"/>
    <w:rsid w:val="009B7FEC"/>
    <w:rsid w:val="009C2E93"/>
    <w:rsid w:val="009D31ED"/>
    <w:rsid w:val="009D4574"/>
    <w:rsid w:val="009D46CE"/>
    <w:rsid w:val="009D6BDA"/>
    <w:rsid w:val="009D7CD5"/>
    <w:rsid w:val="009E3FEB"/>
    <w:rsid w:val="009E4958"/>
    <w:rsid w:val="009E7FAC"/>
    <w:rsid w:val="009F17AB"/>
    <w:rsid w:val="009F2E02"/>
    <w:rsid w:val="009F6ADF"/>
    <w:rsid w:val="00A0027B"/>
    <w:rsid w:val="00A065A5"/>
    <w:rsid w:val="00A232E2"/>
    <w:rsid w:val="00A260DC"/>
    <w:rsid w:val="00A26806"/>
    <w:rsid w:val="00A2789D"/>
    <w:rsid w:val="00A27BF2"/>
    <w:rsid w:val="00A34216"/>
    <w:rsid w:val="00A360EE"/>
    <w:rsid w:val="00A41D72"/>
    <w:rsid w:val="00A430A2"/>
    <w:rsid w:val="00A43CE5"/>
    <w:rsid w:val="00A440D8"/>
    <w:rsid w:val="00A45035"/>
    <w:rsid w:val="00A527E1"/>
    <w:rsid w:val="00A55434"/>
    <w:rsid w:val="00A569CB"/>
    <w:rsid w:val="00A6036D"/>
    <w:rsid w:val="00A62274"/>
    <w:rsid w:val="00A66778"/>
    <w:rsid w:val="00A70FE4"/>
    <w:rsid w:val="00A7232B"/>
    <w:rsid w:val="00A805CA"/>
    <w:rsid w:val="00AA04E0"/>
    <w:rsid w:val="00AA34FA"/>
    <w:rsid w:val="00AA355F"/>
    <w:rsid w:val="00AA7E09"/>
    <w:rsid w:val="00AB0014"/>
    <w:rsid w:val="00AB1103"/>
    <w:rsid w:val="00AB3A37"/>
    <w:rsid w:val="00AB4352"/>
    <w:rsid w:val="00AC41B3"/>
    <w:rsid w:val="00AD3C62"/>
    <w:rsid w:val="00AD511B"/>
    <w:rsid w:val="00AD5598"/>
    <w:rsid w:val="00AE2B2E"/>
    <w:rsid w:val="00AE2FF7"/>
    <w:rsid w:val="00AE698C"/>
    <w:rsid w:val="00AE6DFD"/>
    <w:rsid w:val="00AE74B1"/>
    <w:rsid w:val="00AF2FA0"/>
    <w:rsid w:val="00AF3A4C"/>
    <w:rsid w:val="00B0204F"/>
    <w:rsid w:val="00B12841"/>
    <w:rsid w:val="00B179DE"/>
    <w:rsid w:val="00B344DB"/>
    <w:rsid w:val="00B369AF"/>
    <w:rsid w:val="00B4108F"/>
    <w:rsid w:val="00B42DB2"/>
    <w:rsid w:val="00B45C71"/>
    <w:rsid w:val="00B50CCE"/>
    <w:rsid w:val="00B554A9"/>
    <w:rsid w:val="00B55954"/>
    <w:rsid w:val="00B64CC9"/>
    <w:rsid w:val="00B73FDE"/>
    <w:rsid w:val="00B745B3"/>
    <w:rsid w:val="00B758A1"/>
    <w:rsid w:val="00B77DCD"/>
    <w:rsid w:val="00B83BF8"/>
    <w:rsid w:val="00B934A1"/>
    <w:rsid w:val="00B93640"/>
    <w:rsid w:val="00B94745"/>
    <w:rsid w:val="00B95661"/>
    <w:rsid w:val="00BA0DF2"/>
    <w:rsid w:val="00BA148F"/>
    <w:rsid w:val="00BB09D4"/>
    <w:rsid w:val="00BC1124"/>
    <w:rsid w:val="00BC1442"/>
    <w:rsid w:val="00BC170E"/>
    <w:rsid w:val="00BD0092"/>
    <w:rsid w:val="00BD1EBD"/>
    <w:rsid w:val="00BE019A"/>
    <w:rsid w:val="00BF0A49"/>
    <w:rsid w:val="00BF6F8A"/>
    <w:rsid w:val="00BF7E04"/>
    <w:rsid w:val="00C0242C"/>
    <w:rsid w:val="00C154C1"/>
    <w:rsid w:val="00C16289"/>
    <w:rsid w:val="00C1757F"/>
    <w:rsid w:val="00C20390"/>
    <w:rsid w:val="00C20AE1"/>
    <w:rsid w:val="00C24D5E"/>
    <w:rsid w:val="00C269C8"/>
    <w:rsid w:val="00C308EA"/>
    <w:rsid w:val="00C33B84"/>
    <w:rsid w:val="00C33FCF"/>
    <w:rsid w:val="00C35091"/>
    <w:rsid w:val="00C40D8F"/>
    <w:rsid w:val="00C505A4"/>
    <w:rsid w:val="00C5671C"/>
    <w:rsid w:val="00C56FCB"/>
    <w:rsid w:val="00C57844"/>
    <w:rsid w:val="00C71B57"/>
    <w:rsid w:val="00C83752"/>
    <w:rsid w:val="00C86AA2"/>
    <w:rsid w:val="00C90513"/>
    <w:rsid w:val="00CB0A49"/>
    <w:rsid w:val="00CB0E48"/>
    <w:rsid w:val="00CB5E70"/>
    <w:rsid w:val="00CD075A"/>
    <w:rsid w:val="00CD5D9C"/>
    <w:rsid w:val="00CD744C"/>
    <w:rsid w:val="00CE0887"/>
    <w:rsid w:val="00CE1FCE"/>
    <w:rsid w:val="00CE2E8F"/>
    <w:rsid w:val="00CE5879"/>
    <w:rsid w:val="00CE7E12"/>
    <w:rsid w:val="00CF7B3C"/>
    <w:rsid w:val="00D01493"/>
    <w:rsid w:val="00D02890"/>
    <w:rsid w:val="00D04541"/>
    <w:rsid w:val="00D13BB0"/>
    <w:rsid w:val="00D16307"/>
    <w:rsid w:val="00D235B1"/>
    <w:rsid w:val="00D24963"/>
    <w:rsid w:val="00D25F76"/>
    <w:rsid w:val="00D270B7"/>
    <w:rsid w:val="00D34353"/>
    <w:rsid w:val="00D356A8"/>
    <w:rsid w:val="00D36919"/>
    <w:rsid w:val="00D537E2"/>
    <w:rsid w:val="00D55F7D"/>
    <w:rsid w:val="00D57720"/>
    <w:rsid w:val="00D6103E"/>
    <w:rsid w:val="00D63837"/>
    <w:rsid w:val="00D74276"/>
    <w:rsid w:val="00D75369"/>
    <w:rsid w:val="00D76EBD"/>
    <w:rsid w:val="00D77403"/>
    <w:rsid w:val="00D8440F"/>
    <w:rsid w:val="00D84D0C"/>
    <w:rsid w:val="00D86233"/>
    <w:rsid w:val="00DA0754"/>
    <w:rsid w:val="00DA3328"/>
    <w:rsid w:val="00DA378B"/>
    <w:rsid w:val="00DA532B"/>
    <w:rsid w:val="00DA5E19"/>
    <w:rsid w:val="00DA62C0"/>
    <w:rsid w:val="00DB0370"/>
    <w:rsid w:val="00DB1E24"/>
    <w:rsid w:val="00DB3F3C"/>
    <w:rsid w:val="00DB547B"/>
    <w:rsid w:val="00DB5922"/>
    <w:rsid w:val="00DB72BE"/>
    <w:rsid w:val="00DB75A7"/>
    <w:rsid w:val="00DC0161"/>
    <w:rsid w:val="00DC25F4"/>
    <w:rsid w:val="00DC5203"/>
    <w:rsid w:val="00DC7D20"/>
    <w:rsid w:val="00DD0E36"/>
    <w:rsid w:val="00DD4541"/>
    <w:rsid w:val="00DD54DE"/>
    <w:rsid w:val="00DE355F"/>
    <w:rsid w:val="00DE6094"/>
    <w:rsid w:val="00DF0221"/>
    <w:rsid w:val="00DF2B2B"/>
    <w:rsid w:val="00DF7EF9"/>
    <w:rsid w:val="00E0155A"/>
    <w:rsid w:val="00E031DC"/>
    <w:rsid w:val="00E0493D"/>
    <w:rsid w:val="00E05D45"/>
    <w:rsid w:val="00E0669F"/>
    <w:rsid w:val="00E173E6"/>
    <w:rsid w:val="00E23749"/>
    <w:rsid w:val="00E240F0"/>
    <w:rsid w:val="00E25C3E"/>
    <w:rsid w:val="00E3502F"/>
    <w:rsid w:val="00E3679D"/>
    <w:rsid w:val="00E37EF0"/>
    <w:rsid w:val="00E40D73"/>
    <w:rsid w:val="00E53BE6"/>
    <w:rsid w:val="00E56C62"/>
    <w:rsid w:val="00E71222"/>
    <w:rsid w:val="00E76031"/>
    <w:rsid w:val="00E907E4"/>
    <w:rsid w:val="00E953AD"/>
    <w:rsid w:val="00E97E66"/>
    <w:rsid w:val="00EA055B"/>
    <w:rsid w:val="00EA208C"/>
    <w:rsid w:val="00EA79D8"/>
    <w:rsid w:val="00EB19E4"/>
    <w:rsid w:val="00EB7729"/>
    <w:rsid w:val="00ED1042"/>
    <w:rsid w:val="00EE2C9D"/>
    <w:rsid w:val="00EF11F6"/>
    <w:rsid w:val="00F02C3E"/>
    <w:rsid w:val="00F062DE"/>
    <w:rsid w:val="00F11620"/>
    <w:rsid w:val="00F12AE0"/>
    <w:rsid w:val="00F20198"/>
    <w:rsid w:val="00F23D17"/>
    <w:rsid w:val="00F278BA"/>
    <w:rsid w:val="00F345CD"/>
    <w:rsid w:val="00F40944"/>
    <w:rsid w:val="00F44014"/>
    <w:rsid w:val="00F5173F"/>
    <w:rsid w:val="00F55975"/>
    <w:rsid w:val="00F56B91"/>
    <w:rsid w:val="00F5751B"/>
    <w:rsid w:val="00F5764F"/>
    <w:rsid w:val="00F57F0D"/>
    <w:rsid w:val="00F6246F"/>
    <w:rsid w:val="00F642C0"/>
    <w:rsid w:val="00F712D7"/>
    <w:rsid w:val="00F74969"/>
    <w:rsid w:val="00F81DEB"/>
    <w:rsid w:val="00F849E5"/>
    <w:rsid w:val="00F87FC7"/>
    <w:rsid w:val="00F91470"/>
    <w:rsid w:val="00F957C9"/>
    <w:rsid w:val="00F95E95"/>
    <w:rsid w:val="00F963AB"/>
    <w:rsid w:val="00FA10E3"/>
    <w:rsid w:val="00FA5E0D"/>
    <w:rsid w:val="00FA700E"/>
    <w:rsid w:val="00FA7B05"/>
    <w:rsid w:val="00FB1DEE"/>
    <w:rsid w:val="00FB25AB"/>
    <w:rsid w:val="00FB61D5"/>
    <w:rsid w:val="00FC0551"/>
    <w:rsid w:val="00FC5D7B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648AC-8494-47F8-8E6F-35A5508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37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Placeholder Text"/>
    <w:basedOn w:val="a0"/>
    <w:uiPriority w:val="99"/>
    <w:semiHidden/>
    <w:rsid w:val="00AB0014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D270B7"/>
    <w:rPr>
      <w:rFonts w:asciiTheme="minorHAnsi" w:eastAsiaTheme="minorEastAsia" w:hAnsiTheme="minorHAnsi" w:cstheme="minorBidi"/>
    </w:rPr>
  </w:style>
  <w:style w:type="character" w:customStyle="1" w:styleId="ad">
    <w:name w:val="Текст сноски Знак"/>
    <w:basedOn w:val="a0"/>
    <w:link w:val="ac"/>
    <w:uiPriority w:val="99"/>
    <w:semiHidden/>
    <w:rsid w:val="00D270B7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270B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270B7"/>
  </w:style>
  <w:style w:type="character" w:customStyle="1" w:styleId="af0">
    <w:name w:val="Текст концевой сноски Знак"/>
    <w:basedOn w:val="a0"/>
    <w:link w:val="af"/>
    <w:uiPriority w:val="99"/>
    <w:semiHidden/>
    <w:rsid w:val="00D27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D270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320D2-2115-4BA4-9D05-1E8309A2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422</cp:lastModifiedBy>
  <cp:revision>4</cp:revision>
  <cp:lastPrinted>2024-04-16T10:36:00Z</cp:lastPrinted>
  <dcterms:created xsi:type="dcterms:W3CDTF">2024-04-15T11:16:00Z</dcterms:created>
  <dcterms:modified xsi:type="dcterms:W3CDTF">2024-04-17T07:57:00Z</dcterms:modified>
</cp:coreProperties>
</file>